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0080" cy="6781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4" t="-351" r="-374" b="-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МИНИСТЕРСТВО </w:t>
      </w:r>
      <w:r w:rsidR="00F64067"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НАУКИ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F640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ВЫСШЕГО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64067"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ОБРАЗОВАНИЯ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РОССИЙСКОЙ ФЕДЕРАЦИИ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ФЕДЕРАЛЬНОЕ ГОСУДАРСТВЕННОЕ БЮДЖЕТНОЕ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ОБРАЗОВАТЕЛЬНОЕ УЧРЕЖДЕНИЕ ВЫСШЕГО ОБРАЗОВАНИЯ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«ДОНСКОЙ ГОСУДАРСТВЕННЫЙ ТЕХНИЧЕСКИЙ УНИВЕРСИТЕТ»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(ДГТУ)</w:t>
      </w:r>
    </w:p>
    <w:p w:rsidR="00A7590D" w:rsidRPr="00A7590D" w:rsidRDefault="00A7590D" w:rsidP="00A759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Факультет </w:t>
      </w: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Юридический</w:t>
      </w:r>
    </w:p>
    <w:p w:rsidR="00A7590D" w:rsidRPr="00A7590D" w:rsidRDefault="00A7590D" w:rsidP="00A759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Кафедра </w:t>
      </w: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Теория и история государства и права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85F71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ИСТОРИЯ ГОСУДАРСТВА И ПРАВА РОССИИ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Методические указания 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и задания для контрольных работ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для студентов </w:t>
      </w:r>
      <w:r w:rsidR="001F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заочной формы обучения по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направлени</w:t>
      </w:r>
      <w:r w:rsidR="001F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ю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подготовки</w:t>
      </w:r>
      <w:r w:rsidR="001F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: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40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.03.0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1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Юриспруденция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»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85F71">
      <w:pPr>
        <w:shd w:val="clear" w:color="auto" w:fill="FFFFFF"/>
        <w:suppressAutoHyphens/>
        <w:autoSpaceDE w:val="0"/>
        <w:spacing w:after="0" w:line="240" w:lineRule="auto"/>
        <w:ind w:left="4248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Автор-составитель: 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к.полит</w:t>
      </w:r>
      <w:r w:rsidR="00A85F71"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н.</w:t>
      </w:r>
      <w:r w:rsidR="00926B3F">
        <w:rPr>
          <w:rFonts w:ascii="Times New Roman" w:eastAsia="Times New Roman" w:hAnsi="Times New Roman" w:cs="Times New Roman"/>
          <w:sz w:val="24"/>
          <w:szCs w:val="24"/>
          <w:lang w:eastAsia="zh-CN"/>
        </w:rPr>
        <w:t>, доцент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>Артюхин О.А.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Ростов-на-Дону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201</w:t>
      </w:r>
      <w:r w:rsidR="00926B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9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Методические указания по дисциплине «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государства и права России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разработаны в соответствии с требованиями ФГОС ВО по </w:t>
      </w:r>
      <w:r w:rsidRPr="00A759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направлению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подготовки 40.03.01 </w:t>
      </w:r>
      <w:r w:rsidRPr="00A759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государства и права России</w:t>
      </w:r>
      <w:r w:rsidRPr="00A759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Методические указания 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научную литературу, периодические издания и электронные ресурсы.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К методическим указаниям прилагается пример выполнения ко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нтрольной работы по дисциплине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образца для студентов.</w:t>
      </w:r>
    </w:p>
    <w:p w:rsidR="00A7590D" w:rsidRPr="00A7590D" w:rsidRDefault="00A7590D" w:rsidP="00926B3F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СОДЕРЖАНИЕ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ВВЕДЕНИЕ.........................................................................................................................................4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1. Порядок выбора темы контрольной работы................................................................................5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2. Задания для контрольных работ....................................................................................................5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СПИСОК ИСТОЧНИКОВ.................................................................................................................9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6B3F" w:rsidRDefault="00926B3F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6B3F" w:rsidRPr="00A7590D" w:rsidRDefault="00926B3F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ВВЕДЕНИЕ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Контрольные работы предназначены для самостоятельной работы студентов по изучению учебной дисциплины «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государства и права России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» в межсессионный период. Она призвана способствовать закреплению у студентов знаний по изучаемой дисциплине, формированию у них аналитического, творческого мышления, целостности представлений о праве, выработке навыков применения его норм.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выполнению контрольной работы студенты могут приступать лишь после уяснения для себя вопросов темы, изучения рекомендуемой по теме 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исторической и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юридической литературы, усвоения соответствующего теоретического материала, озна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комления с действующими в данный исторический промежуток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правовыми актами и 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исторической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практикой их применения.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выполнении контрольной работы студенты должны учитывать следующие требования.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Контрольную работу студенты должны выполнять в строгом соответствии с вариантом. Работы, выполненные с нарушением порядка определения варианта, к проверке не принимаются.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 на теоретический вопрос состоит в развернутом изложении в форме эссе тех или иных положений изучаемой дисциплины.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Условия задачи сформулированы таким образом, что студенты могут разрешить все возникающие вопросы, опираясь на </w:t>
      </w:r>
      <w:r w:rsidR="00A76CD0">
        <w:rPr>
          <w:rFonts w:ascii="Times New Roman" w:eastAsia="Times New Roman" w:hAnsi="Times New Roman" w:cs="Times New Roman"/>
          <w:sz w:val="24"/>
          <w:szCs w:val="24"/>
          <w:lang w:eastAsia="zh-CN"/>
        </w:rPr>
        <w:t>литературу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изучаемой темы. Решение задач должно быть развернутым и мотивированным. При ссылках на соответствующие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исторические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нормативные акты необходимо пр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иводить их полное название.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Ответы на вопросы следует аргументировать ссылкой на конкретные нормы права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изучаемого периода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, причем независимо от того, положительный или отрицательный вывод следует из фабулы соответствующей задачи. Окончательные выводы по задаче должны быть конкретными и однозначными.</w:t>
      </w:r>
      <w:r w:rsidRPr="00A7590D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Контрольная работа выполняется в соответствии с установленным графиком и представляется на кафедру «Теория и история государство и право» не позднее, чем за две недели до начала сессии. Контрольные работы регистрируются в журнале и проверяются преподавателем, ведущим занятия в группе.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Контрольная работа оценивается по форме – </w:t>
      </w:r>
      <w:r w:rsidRPr="00A7590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«зачтено» 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Pr="00A7590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«не зачтено».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  Если работа не зачтена, то студент должен выполнить ее повторно, при этом необходимо учесть все замечания, сделанные преподавателем, и представить ее на проверку с обязательным приложением предыдущей работы.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Студенты, не получившие зачета по контрольной работе, </w:t>
      </w:r>
      <w:r w:rsidRPr="00A7590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не допускаются к аттестации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 по изучаемой дисциплине.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ind w:firstLine="708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Порядок выбора темы контрольной работы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before="150" w:after="150" w:line="240" w:lineRule="auto"/>
        <w:ind w:right="300" w:firstLine="709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Контрольная работа состоит из двух частей.</w:t>
      </w:r>
    </w:p>
    <w:p w:rsidR="00A7590D" w:rsidRPr="00A7590D" w:rsidRDefault="00A7590D" w:rsidP="00A7590D">
      <w:pPr>
        <w:suppressAutoHyphens/>
        <w:spacing w:before="150" w:after="150" w:line="240" w:lineRule="auto"/>
        <w:ind w:right="300" w:firstLine="709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Первая часть – теоретическая, выполняется студентом по одной из тем нижеприведенного перечня, номер которой совпадает с номером последней цифры номера зачетной книжки (например, при цифре 2 – из тем 2, 12, 22, 32, 42, 52).</w:t>
      </w:r>
    </w:p>
    <w:p w:rsidR="00A7590D" w:rsidRPr="00A7590D" w:rsidRDefault="00A7590D" w:rsidP="00A7590D">
      <w:pPr>
        <w:suppressAutoHyphens/>
        <w:spacing w:before="150" w:after="150" w:line="240" w:lineRule="auto"/>
        <w:ind w:right="300" w:firstLine="709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Вторая часть - практическая, включает решение обучаемыми задач</w:t>
      </w:r>
      <w:r w:rsidR="00A85F71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(по выбору), номер задачи определяется по последней цифре номера зачетной книжки. 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lastRenderedPageBreak/>
        <w:t>Объем работы не должен превышать размера школьной тетради 12 листов или не более 1</w:t>
      </w:r>
      <w:r w:rsidR="008602F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5</w:t>
      </w: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-</w:t>
      </w:r>
      <w:r w:rsidR="008602F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20</w:t>
      </w: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листов машинописного текста формата А-4, 14 шрифтом Times New Roman, через 1,5 интервала.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Нормативно-правовые акты должны быть приведены в действующей редакции. 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ind w:firstLine="709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Задания для контрольных работ</w:t>
      </w:r>
    </w:p>
    <w:p w:rsidR="00A7590D" w:rsidRDefault="00A7590D" w:rsidP="00A7590D">
      <w:pPr>
        <w:suppressAutoHyphens/>
        <w:spacing w:after="0" w:line="240" w:lineRule="auto"/>
        <w:ind w:left="300" w:right="30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Первая часть:</w:t>
      </w:r>
    </w:p>
    <w:p w:rsidR="00A7590D" w:rsidRPr="00A7590D" w:rsidRDefault="00A7590D" w:rsidP="00A7590D">
      <w:pPr>
        <w:suppressAutoHyphens/>
        <w:spacing w:after="0" w:line="240" w:lineRule="auto"/>
        <w:ind w:left="300" w:right="300" w:firstLine="709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ТЕМАТИКА ПИСЬМЕННЫХ РАБОТ </w:t>
      </w:r>
    </w:p>
    <w:p w:rsidR="008602FD" w:rsidRDefault="008602FD" w:rsidP="00A7590D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Общественно-политический строй и право Древнерусского государства.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Княжеская дружина и ее роль в укреплении власти князей.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Вече в Древней Руси как орган государственной власти.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«Русская правда» как первый свод законов Древней Руси.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Уголовное право и процесс по «Русской правде».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Крещение Руси. Его последствия.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Древняя Русь и Византия: проблема византийского влияния.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Съезды князей как орган государственной власти в раннефеодальной монархии.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Особенности государственного строя в Псковской республике. Отличия от Новгородской.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Владимир Мономах и его вклад в развитие права на Руси.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Псковская судная грамота.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Содержание и сущность демократии в Новгородской республике.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Русь и Золотая Орда: проблемы взаимовлияния.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Армия, центральное и местное управление в России при Иване III.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Судебник 1497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Сословно-представительная монархия в России (XVI–XVII вв.)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Уголовное право в России в период сословно-представительной монархии.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органов местного управления в XVI–XVII вв.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Государственная служба в XVI–XVIII вв.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Организация управления Русским государством при Иване Грозном.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Судебник 1550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Опричнина как форма управления государством в эпоху Ивана Грозного, Сущность. Последствия.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Земские Соборы в Смутное время.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Самозванчество в России. Причины. Влияние.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уголовного права в России (XII-XVII.)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Статут Великого княжества Литовского 1529 года. Связь с Русским правом.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Соборное Уложение 1649 года. Общая характеристика, основные положения.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Правовое положение сословий в России в XVII 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Реформа Православной Церкви. Церковный раскол и его последствия.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Развитие крепостного права в России (конец XVII – XVIII вв.)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Абсолютная монархия в России (вторая половина XVII– XVIII вв.).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Петр Великий – законодатель.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Реформа государственного аппарата при Петре I.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Реформы суда и правоохранительных органов при Петре I.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Уголовное право и судебный процесс по законодательству первой четверти XVIII 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Реформа суда и правоохранительных органов при Екатерине II.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норм уголовного права в XVIII 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Особенности правового положения сословий в первой половине XIX 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Жалованная грамота городам 1785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Крестьянский вопрос в России в первой половине XIX 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Жалованная грамота дворянству 1785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Министерская реформа Александра I.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Реформа армии и полиции (II половина XIX в.)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Сперанский М.М. Государственная деятельность, вклад в развитие права в России.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Кодификация законодательства в России в первой половине XIX в.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Уложение «О наказаниях уголовных и исправительных» 1845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Судебная реформа в России 1864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Выдающиеся судебные ораторы России (II пол. XIX в.)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Земская реформа в России в 1864 года и развитие местного самоуправления в дореволюционной России.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Правовое положение «инородцев» в России. Роль национального вопроса в общественной и политической жизни страны.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Рабочее законодательство в дореволюционной России (конец XIX – нач. XX вв.)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Правовое регулирование семейных отношений в России (конец XIX –начало XX вв.)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Изменения в государственно-правовом строе России в ходе революции 1905-1907 гг.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Реформирование государственной системы Российской империи под влиянием революции 1905–1907 гг.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Манифест 17 октября 1905 года. Содержание. Последствия.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Государственная Дума в России в начале XX в. Место в политической системе.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политические партии в России в начале XX в. Программы. Роль в политической жизни.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государственного и правового строя России в годы Первой мировой войны.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Учредительное Собрание в России и его судьба.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Отречение Николая II. Последствия. Оценки в историко-юридической литературе.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Проблемы войны и мира в программных документах ведущих политических партий России и Временного правительства в 1917 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Программные цели основных политических партий в России 1917 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Февральская революция и формирование новой государственной системы (март – октябрь 1917 года)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Альтернативы политического, экономического и социального развития России в период от февраля к октябрю 1917 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Второй Всероссийский съезд Советов и его декреты.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Демонтаж старой и формирование новой правоохранительной системы в России в годы революции и гражданской войны.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Конституция РСФСР 1918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«Белое» движение в России (1918 – 1920 г.): как государственно-правовая альтернатива развития России.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Советская юстиция в годы НЭПа.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Советского трудового права в 1917–1941 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Социальная структура советского общества в 30-е годы XX в. Особенности.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ВЧК – ОГПУ – НКВД. Причины создания, их роль.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Советского гражданского права в 1917-1941 гг.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Становление советского уголовного права 1917-1926 гг.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Образование СССР. Причины, значение. Дискуссии.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Конституция СССР 1924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однопартийного режима в СССР; условия ипоследствия.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Национально-государственное строительство в СССР в 20-30-е гг.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Конституция СССР 1936 года.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Трансформация правоохранительной системы в годы сталинизма.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Сущность «оттепели» и «застоя» в СССР. Их влияние на государственно- правовой механизм.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Конституция СССР 1977 г.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Особенности формирования и функционирования партий в современной России.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Распад СССР: причины и последствия.</w:t>
      </w:r>
    </w:p>
    <w:p w:rsidR="008118B1" w:rsidRPr="008118B1" w:rsidRDefault="008118B1" w:rsidP="008118B1">
      <w:pPr>
        <w:pStyle w:val="a5"/>
        <w:numPr>
          <w:ilvl w:val="0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новой российской государственности: проблемы, направления, перспективы. (90–е г. XX в.)</w:t>
      </w:r>
    </w:p>
    <w:p w:rsidR="008118B1" w:rsidRPr="008118B1" w:rsidRDefault="008118B1" w:rsidP="008118B1">
      <w:pPr>
        <w:pStyle w:val="a5"/>
        <w:numPr>
          <w:ilvl w:val="1"/>
          <w:numId w:val="5"/>
        </w:numPr>
        <w:suppressAutoHyphens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Конституция Российской Федерации 1993 года.</w:t>
      </w:r>
    </w:p>
    <w:p w:rsid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8118B1">
      <w:pPr>
        <w:suppressAutoHyphens/>
        <w:spacing w:after="0" w:line="240" w:lineRule="auto"/>
        <w:ind w:right="300" w:firstLine="709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Вторая часть:</w:t>
      </w:r>
    </w:p>
    <w:p w:rsidR="00287DD9" w:rsidRDefault="00287DD9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ind w:right="300" w:firstLine="709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ЗАДАЧИ</w:t>
      </w:r>
    </w:p>
    <w:p w:rsidR="00A7590D" w:rsidRPr="00A7590D" w:rsidRDefault="00A7590D" w:rsidP="00A7590D">
      <w:pPr>
        <w:suppressAutoHyphens/>
        <w:spacing w:after="0" w:line="240" w:lineRule="auto"/>
        <w:ind w:right="300" w:firstLine="709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для выполнения контрольной работы</w:t>
      </w:r>
    </w:p>
    <w:p w:rsidR="00A7590D" w:rsidRPr="00A7590D" w:rsidRDefault="00A7590D" w:rsidP="00A7590D">
      <w:pPr>
        <w:suppressAutoHyphens/>
        <w:spacing w:after="0" w:line="240" w:lineRule="auto"/>
        <w:ind w:right="30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18B1" w:rsidRPr="00287DD9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В Новгороде и Пскове действовали Новгородская и Псковская судные грамоты. Опишите отличительные черты частного права, закреплённого в данных грамотах от частного права по Русской Правде.</w:t>
      </w:r>
    </w:p>
    <w:p w:rsidR="008118B1" w:rsidRPr="00287DD9" w:rsidRDefault="00AF1776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2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Разрешите предложенную ситуацию, используя текст Псковской Судной грамоты: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Федор скончался, оставив рукописание. В нем указывались наследники, в число которых, помимо матери и сына, входил не относящийся к числу родственников Сергей. Кредиторы Федора потребовали, чтобы все наследники, упомянутые в завещании, разделили между собой поровну обязанности по выплате долга. Никаких специальных указаний по долгам Федор не оставил.</w:t>
      </w:r>
    </w:p>
    <w:p w:rsidR="008118B1" w:rsidRPr="00287DD9" w:rsidRDefault="00AF1776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3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Дайте характеристику преступлений и наказаний по Судебнику 1497 г. и назовите отличительные особенности от Русской Правды.</w:t>
      </w:r>
    </w:p>
    <w:p w:rsidR="008118B1" w:rsidRPr="00287DD9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4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Разрешите предложенную ситуацию, используя нормы Судебника</w:t>
      </w:r>
      <w:r w:rsidR="003544F9"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1497 г.</w:t>
      </w: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Между боярами А и Б возник спор по поводу участка земли на границе владений. При этом было установлено, что боярин А в течение 4 лет обрабатывал этот участок, как часть своей земли.</w:t>
      </w:r>
    </w:p>
    <w:p w:rsidR="008118B1" w:rsidRPr="00287DD9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5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основные виды преступлений</w:t>
      </w:r>
      <w:r w:rsidR="003544F9"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544F9"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Артикулу Воинскому</w:t>
      </w: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. Какова приоритетность деяний, о которой можно судить по очередности упоминания деяния по Артикулу Воинскому?</w:t>
      </w:r>
    </w:p>
    <w:p w:rsidR="00E6170E" w:rsidRDefault="00E6170E" w:rsidP="00287DD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8118B1" w:rsidRPr="00287DD9" w:rsidRDefault="00D92A45" w:rsidP="00287DD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6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Дайте решения предложенной ситуации, используя нормы Артикула: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Во время учебных стрельб один из солдат пошел осмотреть мишени, ничего никому не сказав. Чтобы поправить мишень, он обошел ее сзади, а в это время был сделан еще один залп, от которого солдат получил смертельные ранения.</w:t>
      </w:r>
    </w:p>
    <w:p w:rsidR="008118B1" w:rsidRPr="00287DD9" w:rsidRDefault="00287DD9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7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Какая система военных судов нашла отражение в Кратком изображении процессов или судебных тяжб 1715г.? Опишите подсудность каждой инстанции.</w:t>
      </w:r>
    </w:p>
    <w:p w:rsidR="008118B1" w:rsidRPr="00287DD9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Задача </w:t>
      </w:r>
      <w:r w:rsid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8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Дайте решения предложенной ситуации, используя статьи по Краткому </w:t>
      </w:r>
      <w:r w:rsidR="00D92A45"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изображению процессов</w:t>
      </w: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или судебных тяжб 1715 г.: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Когда челобитчик привел к очной ставке своего свидетеля, возражений ни у кого не последовало. Свидетель был допущен к присяге. Через некоторое время ответчику стало известно, что этот свидетель ранее был объявлен в суде нечестным человеком.</w:t>
      </w:r>
    </w:p>
    <w:p w:rsidR="008118B1" w:rsidRPr="00287DD9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Задача </w:t>
      </w:r>
      <w:r w:rsid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9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Охарактеризуйте участие пособника в преступлении, совершённом в соучастии с разделением ролей. Как наказывалось пособничество по нормам Уложения о наказаниях уголовных и исправительных 1845 г.?</w:t>
      </w:r>
    </w:p>
    <w:p w:rsidR="008118B1" w:rsidRPr="00287DD9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</w:t>
      </w:r>
      <w:r w:rsid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10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каких обстоятельствах применялись такие виды наказаний как: Лишение Всех Прав Состояния и Лишение Всех Особенных Прав и Преимуществ.  Составьте задачу.</w:t>
      </w:r>
    </w:p>
    <w:p w:rsidR="00287DD9" w:rsidRPr="00A76CD0" w:rsidRDefault="00287DD9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11</w:t>
      </w:r>
      <w:r w:rsidR="00D92A45"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="008118B1"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Один дворянин уговорил другого дворянина перейти в католическую веру. Какое наказание предусмотрено за данное деяние?</w:t>
      </w:r>
    </w:p>
    <w:p w:rsidR="008118B1" w:rsidRPr="00A76CD0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Задача </w:t>
      </w:r>
      <w:r w:rsidR="00287DD9"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12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изменения в семейно-брачном праве происходят с созданием Советского государства? Почему Кодекс не признавал институт усыновления?</w:t>
      </w:r>
    </w:p>
    <w:p w:rsidR="008118B1" w:rsidRPr="00A76CD0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Задача </w:t>
      </w:r>
      <w:r w:rsidR="00287DD9"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13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(См. Кодекс законов об актах гражданского состояния РСФСР 1918 г.)</w:t>
      </w:r>
    </w:p>
    <w:p w:rsid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Совершеннолетние Семён Половцев и Ольга Шнипас зарегистрировали брак в органе Загс. Однако позже мать Половцева сообщила ему, что Ольга является, его единокровной сестрой. Какие правовые последствия имело такое заявление? Служило ли не удостоверенное в установленном порядке родство препятствием для брака? Кто был вправе требовать признания такого брака не действительным?</w:t>
      </w:r>
    </w:p>
    <w:p w:rsidR="003544F9" w:rsidRPr="00A76CD0" w:rsidRDefault="003544F9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14</w:t>
      </w:r>
    </w:p>
    <w:p w:rsidR="003544F9" w:rsidRDefault="003544F9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Колхозник Васильев написал председателю колхоза «Красный путь» Семенову заявление, в котором просил предоставить ему очередной оплачиваемый отпуск за 1938 г. в июле месяце, так как родственники, проживавшие на юге, пригласили его семью в гости. Однако председатель колхоза заявил Васильеву, что никакого отпуска тот не получит вообще. После этого Васильев обратился в районный комитет партии и заявил, что в их колхозе нарушаются права советских граждан, так как Конституция СССР каждому гражданину гарантирует право на отдых.</w:t>
      </w:r>
    </w:p>
    <w:p w:rsidR="003544F9" w:rsidRDefault="003544F9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Насколько обоснованным был отказ в предоставлении отпуска Васильеву?</w:t>
      </w:r>
    </w:p>
    <w:p w:rsidR="003544F9" w:rsidRPr="00A76CD0" w:rsidRDefault="003544F9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15</w:t>
      </w:r>
    </w:p>
    <w:p w:rsidR="003544F9" w:rsidRPr="003544F9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В 1940 г. сын бывшего помещика Куракин по достижении призывного возраста явился в военкомат, заявив о желании служить в Красной Армии. Однако Куракину было отказано на том основании, что по своему социальному происхождению он относится к нетрудовым элементам, которые не имеют права служить в армии рабоче-крестьянского государства.</w:t>
      </w:r>
    </w:p>
    <w:p w:rsidR="003544F9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Мог ли Куракин служить в Красной Армии?</w:t>
      </w:r>
    </w:p>
    <w:p w:rsidR="00E6170E" w:rsidRDefault="00E6170E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3544F9" w:rsidRPr="00A76CD0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16</w:t>
      </w:r>
    </w:p>
    <w:p w:rsidR="003544F9" w:rsidRPr="003544F9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Тутаевский районный совет народных депутатов в 1979 г. принял решение об увеличении продолжительности рабочей недели на территории района до 42 часов с </w:t>
      </w: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целью победы в областном социалистическом соревновании. Всем руководителям предприятий и учреждений района предписывалось довести эту информацию до трудящихся.</w:t>
      </w:r>
    </w:p>
    <w:p w:rsidR="003544F9" w:rsidRPr="003544F9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Соответствовало ли данное решение советскому законодательству? Каким образом регулировалась продолжительность рабочего времени колхозников?</w:t>
      </w:r>
    </w:p>
    <w:p w:rsidR="003544F9" w:rsidRPr="00A76CD0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17.</w:t>
      </w:r>
    </w:p>
    <w:p w:rsidR="003544F9" w:rsidRPr="003544F9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Зуева в июле 1978 г. родила сына, а в 1980 г. обратилась в суд с иском об установлении отцовства Евгеньева. В заявлении она указала, что находилась с Евгеньевым в интимных отношениях в течение года до рождения ребенка. В период беременности Зуевой Евгеньев всем друзьям представлял ее как жену, говорил о будущем ребенке, написал родителям о том, что в период декретного отпуска постарается привести Зуеву к ним. Однако за месяц до рождения ребенка Евгеньев утонул на рыбалке. Признание его отцом было необходимо Зуевой для получения доли наследства после смерти отца Евгеньева, то есть дедушки сына. Заинтересованный в разделе наследства брат Евгеньева представил в суд свое возражение, в котором просил учесть, что наследство после смерти их отца открылось еще в январе 1979 г., а в тот период сын Зуевой никаких прав на него не имел.</w:t>
      </w:r>
    </w:p>
    <w:p w:rsidR="003544F9" w:rsidRPr="00A76CD0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Каким образом должно решаться данное дело?</w:t>
      </w:r>
    </w:p>
    <w:p w:rsidR="003544F9" w:rsidRPr="00A76CD0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76CD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Задача 18</w:t>
      </w:r>
    </w:p>
    <w:p w:rsidR="003544F9" w:rsidRPr="003544F9" w:rsidRDefault="003544F9" w:rsidP="003544F9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4F9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Определите разрешенные виды деятельности для частных лиц согласно Закону «Об индивидуальной трудовой деятельности»: а) изготовление меховых изделий; б) фотографирование; в) изготовление изделий из янтаря; г) транспортное обслуживание; д) изготовление косметических изделий; е) содержание бань; ж) организация зрелищных мероприятий; з) медицинская деятельность.</w:t>
      </w:r>
    </w:p>
    <w:p w:rsidR="008118B1" w:rsidRPr="00287DD9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Задача </w:t>
      </w:r>
      <w:r w:rsidR="00287DD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1</w:t>
      </w:r>
      <w:r w:rsidR="003544F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9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8B1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Какова структура судебной власти в России по Конституции РФ 1993 г.? В чём состоят принципиальные различия устройства современного правосудия от устройства правосудия по Конституции РСФСР 1978 г.? Какие внесены изменения в законы о судебной системе и судах общей юрисдикции в 2012 г?</w:t>
      </w:r>
    </w:p>
    <w:p w:rsidR="00287DD9" w:rsidRPr="00287DD9" w:rsidRDefault="00287DD9" w:rsidP="00287DD9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i/>
          <w:lang w:eastAsia="zh-CN"/>
        </w:rPr>
      </w:pPr>
      <w:r w:rsidRPr="00287DD9">
        <w:rPr>
          <w:rFonts w:hint="eastAsia"/>
          <w:b/>
          <w:i/>
          <w:lang w:eastAsia="zh-CN"/>
        </w:rPr>
        <w:t>Задача</w:t>
      </w:r>
      <w:r w:rsidR="003544F9">
        <w:rPr>
          <w:b/>
          <w:i/>
          <w:lang w:eastAsia="zh-CN"/>
        </w:rPr>
        <w:t>20</w:t>
      </w:r>
    </w:p>
    <w:p w:rsidR="00287DD9" w:rsidRPr="00287DD9" w:rsidRDefault="00287DD9" w:rsidP="00287DD9">
      <w:pPr>
        <w:pStyle w:val="ac"/>
        <w:shd w:val="clear" w:color="auto" w:fill="FFFFFF"/>
        <w:spacing w:before="0" w:beforeAutospacing="0" w:after="150" w:afterAutospacing="0"/>
        <w:ind w:firstLine="709"/>
        <w:jc w:val="both"/>
        <w:textAlignment w:val="baseline"/>
        <w:rPr>
          <w:lang w:eastAsia="zh-CN"/>
        </w:rPr>
      </w:pPr>
      <w:r w:rsidRPr="00287DD9">
        <w:rPr>
          <w:lang w:eastAsia="zh-CN"/>
        </w:rPr>
        <w:t xml:space="preserve"> Судебная </w:t>
      </w:r>
      <w:r w:rsidR="003544F9" w:rsidRPr="00287DD9">
        <w:rPr>
          <w:lang w:eastAsia="zh-CN"/>
        </w:rPr>
        <w:t>коллегия по гражданским делам Верховного Суда РФ</w:t>
      </w:r>
      <w:r w:rsidRPr="00287DD9">
        <w:rPr>
          <w:lang w:eastAsia="zh-CN"/>
        </w:rPr>
        <w:t xml:space="preserve"> рассмотрела по жалобе гражданина дело о проверке соответствия постановления Правительства РФ федеральному закону. В каких подразделениях Верховного Суда РФ и в каком порядке может быть оспорено решение по данному делу?</w:t>
      </w:r>
    </w:p>
    <w:p w:rsidR="008118B1" w:rsidRPr="008118B1" w:rsidRDefault="008118B1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Default="00A7590D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2A45" w:rsidRPr="008118B1" w:rsidRDefault="00D92A45" w:rsidP="008118B1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170E" w:rsidRDefault="00E6170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926B3F" w:rsidRDefault="00926B3F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926B3F" w:rsidRDefault="00926B3F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926B3F" w:rsidRDefault="00926B3F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926B3F" w:rsidRDefault="00926B3F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A7590D" w:rsidRDefault="00A7590D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lang w:eastAsia="zh-CN"/>
        </w:rPr>
        <w:lastRenderedPageBreak/>
        <w:t>3. СПИСОК ИСТОЧНИКОВ</w:t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804"/>
        <w:gridCol w:w="3461"/>
        <w:gridCol w:w="2137"/>
        <w:gridCol w:w="1314"/>
      </w:tblGrid>
      <w:tr w:rsidR="00926B3F" w:rsidRPr="005E6D0B" w:rsidTr="004A2BB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926B3F" w:rsidTr="004A2BB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926B3F" w:rsidTr="004A2BB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926B3F" w:rsidTr="004A2BB1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/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926B3F" w:rsidTr="004A2BB1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Кузнецов, И.Н.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и права России: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Издательско- торговая корпорация «Дашков и К°», 2016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Шестаков Юрий Александрович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и права России: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Центр РИОР, 2018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926B3F" w:rsidTr="004A2BB1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/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926B3F" w:rsidTr="004A2BB1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Ключевский, В.О.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История России: статьи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Директ-Медиа, 2012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Докторов, Б.З., Ослон, А.А.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Эпоха Ельцина. Мнения россиян. Социологические очерки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Директ-Медиа, 2014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Смирнов, В.П.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От Сталина до Ельцина: автопортрет на фоне эпохи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Новый хронограф, 2011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9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Черняев, А.С.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Отвечая на вызов времени. Внешняя политика перестройки. Документальные свидетельства. По записям бесед Горбачева с зарубежными деятелями и другим материалам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Весь Мир, 2010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Зубкова, Е.Ю.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Т. 28. Первый секретарь ЦК КПСС Никита Сергеевич Хрущёв: 15 апреля 1894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– 11 сентября 1971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дом «Комсомольская правда», 2015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Голубев, А.В.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Т. 29. Генеральный секретарь ЦК КПСС Леонид Ильич Брежнев: 6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декабря 1906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– 10 ноября 1982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дом «Комсомольская правда», 2015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Пихоя, Р.Г.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Т. 31. Президент Российской Федерации Борис Николаевич Ельцин: 12 февраля 1931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– 23 апреля 2007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дом «Комсомольская правда», 2015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Курскова, Г.Ю., Калина, В.Ф.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отечественного государства и права: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26B3F" w:rsidTr="004A2BB1">
        <w:trPr>
          <w:trHeight w:hRule="exact" w:val="9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Давидян Г.М., Куприянова Ольга Ильинична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отечественного государства и права: Учебное пособие для семинарских занятий: Часть 2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6B3F" w:rsidRPr="00706A35" w:rsidRDefault="00926B3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26B3F" w:rsidRDefault="00926B3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D92A45" w:rsidRDefault="00D92A45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GoBack"/>
      <w:bookmarkEnd w:id="0"/>
    </w:p>
    <w:sectPr w:rsidR="00D92A45">
      <w:footerReference w:type="default" r:id="rId8"/>
      <w:footerReference w:type="first" r:id="rId9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85" w:rsidRDefault="00750985">
      <w:pPr>
        <w:spacing w:after="0" w:line="240" w:lineRule="auto"/>
      </w:pPr>
      <w:r>
        <w:separator/>
      </w:r>
    </w:p>
  </w:endnote>
  <w:endnote w:type="continuationSeparator" w:id="0">
    <w:p w:rsidR="00750985" w:rsidRDefault="00750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C5" w:rsidRDefault="00A7590D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926B3F">
      <w:rPr>
        <w:noProof/>
      </w:rPr>
      <w:t>10</w:t>
    </w:r>
    <w:r>
      <w:fldChar w:fldCharType="end"/>
    </w:r>
  </w:p>
  <w:p w:rsidR="004256C5" w:rsidRDefault="004256C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C5" w:rsidRDefault="004256C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85" w:rsidRDefault="00750985">
      <w:pPr>
        <w:spacing w:after="0" w:line="240" w:lineRule="auto"/>
      </w:pPr>
      <w:r>
        <w:separator/>
      </w:r>
    </w:p>
  </w:footnote>
  <w:footnote w:type="continuationSeparator" w:id="0">
    <w:p w:rsidR="00750985" w:rsidRDefault="00750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0D78"/>
    <w:multiLevelType w:val="hybridMultilevel"/>
    <w:tmpl w:val="3542994A"/>
    <w:lvl w:ilvl="0" w:tplc="55028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E6D78"/>
    <w:multiLevelType w:val="multilevel"/>
    <w:tmpl w:val="D8027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023A8"/>
    <w:multiLevelType w:val="hybridMultilevel"/>
    <w:tmpl w:val="20524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A7B59"/>
    <w:multiLevelType w:val="multilevel"/>
    <w:tmpl w:val="A8F6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C05B19"/>
    <w:multiLevelType w:val="hybridMultilevel"/>
    <w:tmpl w:val="EE22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B6"/>
    <w:rsid w:val="000C3C53"/>
    <w:rsid w:val="001677F1"/>
    <w:rsid w:val="001F59FC"/>
    <w:rsid w:val="00204F4E"/>
    <w:rsid w:val="00287DD9"/>
    <w:rsid w:val="003544F9"/>
    <w:rsid w:val="00393833"/>
    <w:rsid w:val="004256C5"/>
    <w:rsid w:val="004324A5"/>
    <w:rsid w:val="00432892"/>
    <w:rsid w:val="0051631C"/>
    <w:rsid w:val="005234FD"/>
    <w:rsid w:val="00536A0E"/>
    <w:rsid w:val="00562FF0"/>
    <w:rsid w:val="005C2BE5"/>
    <w:rsid w:val="005C317E"/>
    <w:rsid w:val="00616E8D"/>
    <w:rsid w:val="00676D5F"/>
    <w:rsid w:val="007310B6"/>
    <w:rsid w:val="00750985"/>
    <w:rsid w:val="008118B1"/>
    <w:rsid w:val="00822B9B"/>
    <w:rsid w:val="0085092C"/>
    <w:rsid w:val="008602FD"/>
    <w:rsid w:val="0087656F"/>
    <w:rsid w:val="00926B3F"/>
    <w:rsid w:val="009D4517"/>
    <w:rsid w:val="00A7590D"/>
    <w:rsid w:val="00A76CD0"/>
    <w:rsid w:val="00A85F71"/>
    <w:rsid w:val="00AF1776"/>
    <w:rsid w:val="00C3043E"/>
    <w:rsid w:val="00C92517"/>
    <w:rsid w:val="00D214C1"/>
    <w:rsid w:val="00D92A45"/>
    <w:rsid w:val="00D93D66"/>
    <w:rsid w:val="00DA2494"/>
    <w:rsid w:val="00DC5311"/>
    <w:rsid w:val="00E6170E"/>
    <w:rsid w:val="00EB1470"/>
    <w:rsid w:val="00ED4CD4"/>
    <w:rsid w:val="00F142A6"/>
    <w:rsid w:val="00F64067"/>
    <w:rsid w:val="00F724AE"/>
    <w:rsid w:val="00FA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6487"/>
  <w15:chartTrackingRefBased/>
  <w15:docId w15:val="{7F503C8F-CCB8-426D-9611-A46421C4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iPriority w:val="99"/>
    <w:semiHidden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paragraph" w:styleId="ac">
    <w:name w:val="Normal (Web)"/>
    <w:basedOn w:val="a"/>
    <w:uiPriority w:val="99"/>
    <w:semiHidden/>
    <w:unhideWhenUsed/>
    <w:rsid w:val="00287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8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Gamer</cp:lastModifiedBy>
  <cp:revision>7</cp:revision>
  <cp:lastPrinted>2018-04-02T05:26:00Z</cp:lastPrinted>
  <dcterms:created xsi:type="dcterms:W3CDTF">2018-05-27T11:19:00Z</dcterms:created>
  <dcterms:modified xsi:type="dcterms:W3CDTF">2019-07-08T09:13:00Z</dcterms:modified>
</cp:coreProperties>
</file>